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FA5E8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A5E85" w:rsidRDefault="00B22DB9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FA5E85" w:rsidRDefault="00B22DB9">
            <w:pPr>
              <w:spacing w:after="0" w:line="240" w:lineRule="auto"/>
            </w:pPr>
            <w:r>
              <w:t>36127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A5E85" w:rsidRDefault="00B22DB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FA5E85" w:rsidRDefault="00B22DB9">
            <w:pPr>
              <w:spacing w:after="0" w:line="240" w:lineRule="auto"/>
            </w:pPr>
            <w:r>
              <w:t>OPĆINA GRAČIŠĆE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A5E85" w:rsidRDefault="00B22DB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FA5E85" w:rsidRDefault="00B22DB9">
            <w:pPr>
              <w:spacing w:after="0" w:line="240" w:lineRule="auto"/>
            </w:pPr>
            <w:r>
              <w:t>22</w:t>
            </w:r>
          </w:p>
        </w:tc>
      </w:tr>
    </w:tbl>
    <w:p w:rsidR="00FA5E85" w:rsidRDefault="00B22DB9">
      <w:r>
        <w:br/>
      </w:r>
    </w:p>
    <w:p w:rsidR="00FA5E85" w:rsidRDefault="00B22DB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A5E85" w:rsidRDefault="00B22DB9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A5E85" w:rsidRDefault="00B22DB9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288.748,03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334.223,92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239.560,66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272.293,59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FA5E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49.187,37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61.930,33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125,9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20.699,37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9.653,29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46,6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FA5E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 </w:t>
            </w:r>
            <w:r>
              <w:rPr>
                <w:b/>
                <w:sz w:val="18"/>
              </w:rPr>
              <w:t>PRIHODA OD NEFINANCIJSKE IMOVINE (šifre 7-4)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62.446,71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13.542,91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13.161,95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97,2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FA5E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13.542,91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13.161,95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97,2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FA5E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14.945,09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111.215,09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744,2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 xml:space="preserve">Ukupni prihodi i primici Općine Gračišće ostvareni u razdoblju od 1. siječnja do 31. ožujka 2026. godine iznosili su 406.323,92 €, odnosno 40,7% ili 117.575,89 € više nego prethodne 2025. godine. Na rast prihoda poslovanja u promatranom razdoblju utjecalo </w:t>
      </w:r>
      <w:r>
        <w:t>je povećanje prihoda od poreza, povećanje prihoda od pomoći iz inozemstva i od subjekata unutar općeg proračuna, povećanje prihoda od imovine, povećanje prihoda od upravnih i administrativnih pristojbi, pristojbi po posebnim popisima i naknadama te prihodi</w:t>
      </w:r>
      <w:r>
        <w:t xml:space="preserve"> od kazni, upravnih mjera i ostalih prihoda koji nisu evidentirani u istom razdoblju prethodne godine. Prihodi od prodaje </w:t>
      </w:r>
      <w:r>
        <w:lastRenderedPageBreak/>
        <w:t>nefinancijske imovine ostvareni su u iznosu od 72.100,00 € te nisu evidentirani u istom razdoblju prethodne godine, dok primici od fin</w:t>
      </w:r>
      <w:r>
        <w:t>ancijske imovine i zaduživanja nisu zabilježeni u promatranom razdoblju. Ukupni rashodi i izdaci su iznosili 295.108,83 € što je za 7,8% ili   21.305,89 € više rashoda nego prošle godine. Rashodi poslovanja su se povećali, a na to su utjecali povećanje ras</w:t>
      </w:r>
      <w:r>
        <w:t>hoda za plaće, povećanje ostalih rashoda za zaposlene, povećanje doprinosa na plaće, povećanje rashoda za naknade troškova zaposlenima, povećanje rashoda za materijal i energiju, povećanje rashoda za usluge, povećanje ostalih naknada građanima i kućanstvim</w:t>
      </w:r>
      <w:r>
        <w:t>a iz proračuna, povećanje ostalih financijskih rashoda te povećanje tekućih donacija, dok ostali nespomenuti rashodi poslovanja, rashodi za kamate za primljene kredite i zajmove, rashodi za pomoći drugom proračunu i izvanproračunskim korisnicima te rashodi</w:t>
      </w:r>
      <w:r>
        <w:t xml:space="preserve"> za kapitalne pomoći bilježe smanjenje u odnosu na prethodnu 2025. godinu. Rashodi za nabavu nefinancijske imovine iznose 9.653,29 €, odnosno za 53,4 % ili 11.046,08 € su manji u odnosu na prethodnu godinu. Izdaci za financijsku imovinu i otplatu zajmova i</w:t>
      </w:r>
      <w:r>
        <w:t>znose 13.161,95 € te su za 2,8% ili 380,96 € manji u odnosu na isto razdoblje prethodne godine. Ostvaren je višak prihoda i primitaka u iznosu od 111.215,09 €. Manjak prihoda i primitaka iz prethodnog razdoblja iznosi 23.224,79 €, tako da se u sljedeće raz</w:t>
      </w:r>
      <w:r>
        <w:t>doblje prenosi višak u iznosu od  87.990,30 €.</w:t>
      </w:r>
    </w:p>
    <w:p w:rsidR="00FA5E85" w:rsidRDefault="00B22DB9">
      <w:r>
        <w:t> </w:t>
      </w:r>
    </w:p>
    <w:p w:rsidR="00FA5E85" w:rsidRDefault="00B22DB9">
      <w:r>
        <w:br/>
      </w:r>
    </w:p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288.748,03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334.223,92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Prihodi poslovanja Općine Gračišće ostvareni u razdoblju od 1. siječnja od 31. ožujka 2026. godine iznosili su 334.223,92 €, odnosno 15,7 % ili  45.475,89 € više nego prethodne 2025. godine. Na rast prihoda poslovanja u promatranom razdoblju najvećim je di</w:t>
      </w:r>
      <w:r>
        <w:t>jelom utjecalo povećanje prihoda od poreza, povećanje prihoda od pomoći iz inozemstva i od subjekata unutar općeg proračuna, povećanje prihoda od imovine, povećanje prihoda od upravnih i administrativnih pristojbi, pristojbi po posebnim popisima i naknadam</w:t>
      </w:r>
      <w:r>
        <w:t>a te prihodi od kazni, upravnih mjera i ostalih prihoda koji nisu evidentirani u istom razdoblju prethodne godine.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233.281,65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252.199,55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108,1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 xml:space="preserve">Prihodi od poreza na dohodak u razdoblju od 1. siječnja do 31. ožujka 2026. godine ostvareni su u iznosu od 252.199,55 €, odnosno 8,1 % ili 18.917,90  € više u odnosu na iste prihode </w:t>
      </w:r>
      <w:r>
        <w:lastRenderedPageBreak/>
        <w:t>ostvarene u promatranom razdoblju 2025. godine. Na povećanje prihoda od p</w:t>
      </w:r>
      <w:r>
        <w:t>oreza na dohodak utjecalo je povećanje prihoda od poreza na dohodak od nesamostalnog rada ostvarenih za 0,5% ili 1.098,01 € više nego u istom razdoblju 2025. godine dok prihodi od poreza na dohodak od samostalnih djelatnosti iznose 9.145,88 €, prihodi od p</w:t>
      </w:r>
      <w:r>
        <w:t>oreza na dohodak od imovine i imovinskih prava iznose 4.221,92 € i prihodi od poreza na dohodak od kapitala iznose 4.452,09 € te nisu evidentirani u istom razdoblju prethodne 2025. godine.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11.394,24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6.908,60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60,6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Prihodi od poreza na imovinu u razdoblju od 1. siječnja do 31. ožujka 2026. godine ostvareni su u iznosu od 6.908,60 €, odnosno 39,4% ili 4.485,64  € manje u odnosu na iste prihode ostvarene u promatranom razdoblju 2025. godine. Na pad prihoda od poreza na</w:t>
      </w:r>
      <w:r>
        <w:t xml:space="preserve"> imovinu utjecalo je smanjenje prihoda od povremenih poreza na imovinu koji se odnose na porez na promet nekretnina.  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183,7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Prihodi od poreza na robu i usluge u razdoblju od 1. siječnja do 31. ožujka 2026. godine ostvareni su u iznosu od 98,76 €, odnosno 83,7 % ili 45,01 € više u odnosu na iste prihode ostvarene u promatranom razdoblju 2025. godine, a odnose se na porez na prom</w:t>
      </w:r>
      <w:r>
        <w:t>et odnosno na porez na potrošnju alkoholnih i bezalkoholnih pića.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proračunu i </w:t>
            </w:r>
            <w:r>
              <w:rPr>
                <w:sz w:val="18"/>
              </w:rPr>
              <w:t>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105,0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Prihodi od pomoći proračunu i izvanproračunskim korisnicima iz drugih proračuna u razdoblju od 1. siječnja do 31. ožujka 2026. godine ostvareni su u iznosu od 2.100,00 € odnosno 5% ili 100 € više nego u istom razdoblju prethodne 2025. godine, a odnose se n</w:t>
      </w:r>
      <w:r>
        <w:t>a tekuće pomoći iz županijskih proračuna.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</w:t>
            </w:r>
            <w:r>
              <w:rPr>
                <w:sz w:val="18"/>
              </w:rPr>
              <w:t xml:space="preserve">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14.833,02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20.003,54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134,9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 xml:space="preserve">Prihodi od pomoći izravnanja za decentralizirane funkcije i fiskalnog izravnanja u razdoblju od 1. siječnja do 31. ožujka 2026. godine ostvareni su u iznosu od 20.003,54 €, odnosno 34,9% ili 5.170,52 € više nego u istom razdoblju prethodne 2025. godine, a </w:t>
      </w:r>
      <w:r>
        <w:t xml:space="preserve">odnose se na tekuće pomoći izravnanja za decentralizirane funkcije u iznosu od 2.264,09 € koje nisu evidentirane u istom razdoblju prethodne godine, te na prihode od pomoći fiskalnog izravnanja u iznosu od 17.739,45 € koji su za 19,6 % ili 2.906,43 € veći </w:t>
      </w:r>
      <w:r>
        <w:t>u odnosu na prethodnu godinu. 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13.466,72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19.827,69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147,2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Prihodi od nefinancijske imovine u razdoblju od 1. siječnja do 31. ožujka 2026. godine ostvareni su u iznosu od 19.827,69 €, odnosno 47,2% ili 6.360,97 € više u odnosu na promatrano razdoblje prethodne 2025. godine. Na povećanje prihoda od nefinancijske im</w:t>
      </w:r>
      <w:r>
        <w:t>ovine utjecalo je povećanje prihoda od zakupa i iznajmljivanja imovine koji iznose 1.074,04 € odnosno za 74,7 % ili 459,24 € su veći u odnosu na prethodnu godinu, a odnose se na prihode od zakupa poslovnih objekata u iznosu od 998,25 € te na prihode od zak</w:t>
      </w:r>
      <w:r>
        <w:t>upa poljoprivrednog zemljišta u iznosu od 75,79 € te povećanje prihoda od naknada za korištenje nefinancijske imovine koji iznose 18.753,65 €, odnosno za 386,6% ili 14.899,28 € su veći u odnosu na prethodnu godinu, a odnose se na prihode od naknada za kori</w:t>
      </w:r>
      <w:r>
        <w:t>štenje naftne luke, naftovoda i eksploataciju mineralnih sirovina u iznosu od 5.611,77 € te na ostale prihode od nefinancijske imovine u iznosu od 13.141,88 €.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Upravne i administrativne pristojbe (šifre 6511 do 6514)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68,1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 xml:space="preserve">Prihodi po upravnih i administrativnih pristojbi u razdoblju od 1. siječnja do 31. ožujka 2026. godine ostvareni su u iznosu od 233,90 €, odnosno 31,9% ili 109,36 € više u odnosu na iste </w:t>
      </w:r>
      <w:r>
        <w:lastRenderedPageBreak/>
        <w:t>prihode ostvarene u promatranom razdoblju 2025. godine, a odnose se n</w:t>
      </w:r>
      <w:r>
        <w:t>a prihode ostalih naknada utvrđenih općinskom odlukom u iznosu od 68,36 € te na prihode od boravišne pristojbe u iznosu od 165,54 €.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5.289,46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7.349,75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139,0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Prihodi po posebnim propisima u razdoblju od 1. siječnja do 31. ožujka 2026. godine ostvareni su u iznosu od 7.349,75 €, odnosno 39% ili 2.060,29 € više u odnosu na iste prihode ostvarene u promatranom razdoblju 2025. godine, a odnose se na prihode od grob</w:t>
      </w:r>
      <w:r>
        <w:t>ne naknade u iznosu od 346,96 € te na ostale nespomenute prihode u iznosu od 7.002,79 €.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8.085,93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24.175,30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299,0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Prihodi od komunalnih doprinosa i naknada u razdoblju od 1. siječnja do 31. ožujka 2026. godine ostvareni su u iznosu  od 24.175,30 €, odnosno 199% ili 16.089,37 € više u odnosu na iste prihode ostvarene u promatranom razdoblju 2025. godine. Na povećanje p</w:t>
      </w:r>
      <w:r>
        <w:t>rihoda od komunalnih doprinosa i naknada je utjecalo povećanje prihoda od komunalne naknade koji su ostvareni u iznosu od 5.527,82 €, odnosno 2,6 % ili  138,23 € više u odnosu na prethodnu godinu, te povećanje prihoda od komunalnog doprinosa koji su ostvar</w:t>
      </w:r>
      <w:r>
        <w:t>eni u iznosu od 18.647,48 €, odnosno 591,6 % ili 15.951,14 € više u odnosu na isto razdoblje prošle godine.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Ostali prihodi u razdoblju od 1. siječnja do 31. ožujka 2026. godine ostvareni su u iznosu  od 1.326,83 € te nisu evidentirani u istom razdoblju prethodne 2025. godine.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239.560,66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272.293,59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 xml:space="preserve">Rashodi poslovanja Općine Gračišće ostvareni u razdoblju od 1. siječnja od 31. ožujka 2026. godine ostvareni su u iznosu od 272.293,59 €, odnosno 13,7% ili 32.732,93 € više nego prethodne 2025. godine. Na povećanje rashoda poslovanja utjecalo je povećanje </w:t>
      </w:r>
      <w:r>
        <w:t>rashoda za plaće, povećanje ostalih rashoda za zaposlene, povećanje doprinosa na plaće, povećanje rashoda za naknade troškova zaposlenima, povećanje rashoda za materijal i energiju, povećanje rashoda za usluge, povećanje ostalih naknada građanima i kućanst</w:t>
      </w:r>
      <w:r>
        <w:t>vima iz proračuna, povećanje ostalih financijskih rashoda te povećanje tekućih donacija, dok ostali nespomenuti rashodi poslovanja, rashodi za kamate za primljene kredite i zajmove, rashodi za pomoći drugom proračunu i izvanproračunskim korisnicima te rash</w:t>
      </w:r>
      <w:r>
        <w:t>odi za kapitalne pomoći bilježe smanjenje u odnosu na prethodnu 2025. godinu.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Plaće </w:t>
            </w:r>
            <w:r>
              <w:rPr>
                <w:sz w:val="18"/>
              </w:rPr>
              <w:t>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38.643,30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39.895,95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103,2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Rashodi za plaće zaposlenika u razdoblju od 1. siječnja do 31. ožujka  2026. godine ostvareni su u iznosu od 39.895,95 €, odnosno 3,2% ili 1.252,65 € više u odnosu na rashode za plaće ostvarene u istom razdoblju 2025. godine. Na rast u promatranom razdoblj</w:t>
      </w:r>
      <w:r>
        <w:t>u utjecalo je uvećanje rashoda za plaće za redovan rad.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Ostali rashodi za zaposlene u razdoblju od 1. siječnja do 31. ožujka 2026. godine ostvareni su u iznosu od 2.100,00 €, odnosno 20% ili 350,00 € više u odnosu na ostale rashode za zaposlene ostvarene u istom razdoblju 2025. godine, a odnose se na ostale nen</w:t>
      </w:r>
      <w:r>
        <w:t>avedene rashode za zaposlene.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6.376,13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103,2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Rashodi za doprinose na plaće zaposlenika u razdoblju od 1. siječnja do 31. ožujka 2026. godine ostvareni su u iznosu od 6.582,83 €, odnosno 3,2% ili  206,70 € više u odnosu na rashode za doprinose  na plaće ostvarene u istom razdoblju 2025. godine. Na ras</w:t>
      </w:r>
      <w:r>
        <w:t>t u promatranom razdoblju utjecalo je uvećanje rashoda za doprinose za obvezno zdravstveno osiguranje.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182,1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 xml:space="preserve">Rashodi za naknade troškova zaposlenima u razdoblju od 1. siječnja do 31. ožujka 2026. godine ostvareni su u iznosu od 2.556,61 €, odnosno 82,1% ili 1.152,30 € više u odnosu na iste rashode ostvarene u promatranom razdoblju 2025. godine. Na povećanje ovih </w:t>
      </w:r>
      <w:r>
        <w:t>rashoda  utjecalo je povećanje rashoda za naknade za prijevoz, za rad na terenu i odvojeni život za 111,2% ili  1.112,05 € te povećanje rashoda za  stručno usavršavanje zaposlenika za 31,4 % ili  106,25 € u odnosu na prethodnu 2025. godinu.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 xml:space="preserve">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5.227,98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8.987,02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171,9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Rashodi za materijal i energiju u razdoblju od 1. siječnja do 31. ožujka 2026. godine ostvareni su u iznosu od 8.987,02 €, odnosno  71,9% ili 3.759,04 € više u odnosu na iste rashode ostvarene u promatranom razdoblju 2025. godine. Na rast rashoda za materi</w:t>
      </w:r>
      <w:r>
        <w:t xml:space="preserve">jal i energiju najviše je utjecalo povećanje rashoda za energiju 86,6% ili 3.269,25  € te povećanje rashoda za sitni inventar i </w:t>
      </w:r>
      <w:proofErr w:type="spellStart"/>
      <w:r>
        <w:t>autogume</w:t>
      </w:r>
      <w:proofErr w:type="spellEnd"/>
      <w:r>
        <w:t xml:space="preserve"> koji bilježe povećanje za 154% ili 957,35 € u odnosu na isto razdoblje prethodne 2025. godine, dok rashodi za uredski m</w:t>
      </w:r>
      <w:r>
        <w:t>aterijal i ostali materijalni rashodi bilježe smanjenje za 56,4% ili 467,56 €.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</w:t>
            </w:r>
            <w:r>
              <w:rPr>
                <w:sz w:val="18"/>
              </w:rPr>
              <w:t>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20.968,47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47.102,29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224,6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Rashodi za usluge u razdoblju od 1. siječnja do 31. ožujka 2026. godine ostvareni su u iznosu od 47.102,29 €, odnosno 124,6 % ili 26.133,82 € više u odnosu na iste rashode ostvarene u promatranom razdoblju 2025. godine. Na povećanje rashoda za usluge utjec</w:t>
      </w:r>
      <w:r>
        <w:t>alo je povećanje rashoda za usluge tekućeg i investicijskog održavanja za 109,3% ili 6.658,69 €, povećanje rashoda za komunalne usluge za 223,8% ili 7.117,82 €, povećanje rashoda za intelektualne i osobne usluge za 651,1% ili 11.293,24 €, povećanje rashoda</w:t>
      </w:r>
      <w:r>
        <w:t xml:space="preserve"> za računalne usluge za 17,6 % ili 752,73 € te povećanje ostalih usluga za 135,3 % ili 1.358,87 €. Rashodi za usluge telefona, interneta, pošte i prijevoza bilježe smanjenje za 33% ili 369,78 € kao i rashodi za usluge promidžbe i informiranja koji bilježe </w:t>
      </w:r>
      <w:r>
        <w:t>smanjenje za 19,1 % ili 677,75 € u odnosu na isto razdoblje prethodne 2025. godine. 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21.745,42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7.697,94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35,4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Ostali nespomenuti rashodi poslovanja u razdoblju od 1. siječnja do 31. ožujka 2026. godine ostvareni su u iznosu od 7.697,94 €, odnosno 64,6% ili 14.047,48 € manje u odnosu na iste rashode ostvarene u promatranom razdoblju 2025. godine. Na pad tih rashoda</w:t>
      </w:r>
      <w:r>
        <w:t xml:space="preserve"> utjecalo je smanjenje ostalih nespomenutih rashoda poslovanja koji iznose 4.034,18 €, odnosno manji su za 81,1% ili 17.280,11 € nego prethodne godine, dok su rashodi za naknade za rad predstavničkih i izvršnih tijela, povjerenstva i slično evidentirani u </w:t>
      </w:r>
      <w:r>
        <w:t>iznosu od 2.041,30 € i nisu bili zabilježeni u promatranom razdoblju prethodne godine. Rashodi za premije osiguranja iznose 438,76 € te bilježe povećanje za 1,8% ili 7,63 € u odnosu na prethodnu 2025. godinu. 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2.309,06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89,0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Rashodi za kamate za primljene kredite i zajmove u razdoblju od 1. siječnja do 31. ožujka 2026. godine ostvareni su u iznosu od 2.054,42 €, odnosno  11%  ili 254,64 € manje u odnosu na iste rashode ostvarene u promatranom razdoblju 2025. godine, a odnose s</w:t>
      </w:r>
      <w:r>
        <w:t>e na kamate za primljene kredite i zajmove od kreditnih i ostalih financijskih institucija izvan javnog sektora.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189,1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Ostali financijski rashodi u razdoblju od 1. siječnja do 31. ožujka 2026. godine ostvareni su u iznosu od 260,34 €, odnosno 89,1%  ili  122,68 € više u odnosu na iste rashode ostvarene u promatranom razdoblju 2025. godine, a odnose se na bankarske usluge i</w:t>
      </w:r>
      <w:r>
        <w:t xml:space="preserve"> usluge platnog prometa.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</w:t>
            </w:r>
            <w:r>
              <w:rPr>
                <w:sz w:val="18"/>
              </w:rPr>
              <w:t xml:space="preserve">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99.199,46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96.367,05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97,1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Rashodi za navedene pomoći u razdoblju od 1. siječnja do 31. ožujka 2026. godine ostvareni su u iznosu od 96.367,05 €, odnosno 2,9 %  ili 2.832,41 € manje u odnosu na iste rashode ostvarene u promatranom razdoblju 2025. godine. Na pad tih rashoda je utjeca</w:t>
      </w:r>
      <w:r>
        <w:t>lo umanjenje rashoda za tekuće pomoći gradskim proračunima koji bilježe smanjenje  za 3% ili  2.888,03 € dok kapitalne pomoći županijskim proračunima bilježe povećanje za 1,5 % ili 55,62 €.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5.254,65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14.460,01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275,2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Rashodi za ostale naknade građanima i kućanstvima od 1. siječnja do 31. ožujka 2026. godine ostvareni su u iznosu od 14.460,01 €, odnosno za 175,2 % ili  9.205,36 € više u odnosu na iste rashode ostvarene u promatranom razdoblju 2025. godine. Na rast tih r</w:t>
      </w:r>
      <w:r>
        <w:t xml:space="preserve">ashoda je utjecalo povećanje rashoda za naknade građanima i kućanstvima u novcu za 123,8 % ili 6.505,36 € a odnose se na rashode za pomoći obiteljima i kućanstvima, rashode za stipendije i školarine te na rashode za </w:t>
      </w:r>
      <w:proofErr w:type="spellStart"/>
      <w:r>
        <w:t>porodiljne</w:t>
      </w:r>
      <w:proofErr w:type="spellEnd"/>
      <w:r>
        <w:t xml:space="preserve"> naknade i opremu za novorođen</w:t>
      </w:r>
      <w:r>
        <w:t>čad. Rashodi za naknade građanima i kućanstvima u naravi zabilježeni su u iznosu od 2.700,00 € te nisu evidentirani u istom razdoblju prethodne godine, a odnose se na ostale naknade iz proračuna u naravi.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33.544,22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41.454,33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Rashodi za tekuće donacije od 1. siječnja do 31. ožujka 2026. godine ostvareni su u iznosu od 41.454,33 €, odnosno za  23,6% ili 7.910,11 € više u odnosu na iste rashode ostvarene u promatranom razdoblju 2025. godine, a odnose se na tekuće donacije u novcu</w:t>
      </w:r>
      <w:r>
        <w:t>, odnosno na tekuće donacije udrugama i političkim strankama u iznosu od 411,43 € te na ostale tekuće donacije u iznosu od 41.042,90 €.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(šifre 3861 do 3865)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92,5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 xml:space="preserve">Rashodi za kapitalne pomoći od 1. siječnja do 31. ožujka 2026. godine ostvareni su u iznosu od 2.774,80 €, odnosno za 7,5 % ili 225,20 € manje u odnosu na promatrano razdoblje prethodne godine, a odnose se na kapitalne pomoći trgovačkim društvima u javnom </w:t>
      </w:r>
      <w:r>
        <w:t>sektoru.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Prihodi od prodaje nefinancijske imovine u razdoblju od 1. siječnja do 31. ožujka 2026. godine ostvareni su u iznosu od 72.100,00 € te nisu evidentirani u istom razdoblju prethodne godine, a odnose se na prihode od prodaje građevinskog zemljišta.</w:t>
      </w:r>
    </w:p>
    <w:p w:rsidR="00FA5E85" w:rsidRDefault="00B22DB9">
      <w:r>
        <w:t> 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materijalne imovine - prirodnih bogatstava (šifre 7111 do 7113)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lastRenderedPageBreak/>
        <w:t>Od 1. siječnja do 31. ožujka 2026. godine ostvareni su prihodi u iznosu od 72.100,00 € te nisu evidentirani u istom razdoblju prethodne 2025. godine, a odnose se na prihode od prodaje građevinskog zemljišta.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20.699,37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9.653,29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46,6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Rashodi za nabavu nefinancijske imovine u razdoblju od 1. siječnja do 31. ožujka 2026. godine ostvareni su u iznosu od 9.653,29 €, odnosno 53,4  % ili  11.046,08 € manje u odnosu na iste rashode ostvarene u promatranom razdoblju 2025. godine. Na pad ovih r</w:t>
      </w:r>
      <w:r>
        <w:t>ashoda utjecalo je smanjenje rashoda za nabavu proizvedene dugotrajne imovine za 70,9% ili 12.762,09 € dok su rashodi za dodatna ulaganja na nefinancijskoj imovini evidentirani u iznosu od 4.412,50 € odnosno za 63,6% ili 1.716,01 € više nego u istom razdob</w:t>
      </w:r>
      <w:r>
        <w:t>lju prethodne 2025. godine.</w:t>
      </w:r>
    </w:p>
    <w:p w:rsidR="00FA5E85" w:rsidRDefault="00B22DB9">
      <w:r>
        <w:t> 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18.002,88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10,5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Od 1. siječnja do 31. ožujka 2026. godine ostvareni su rashodi u iznosu od 1.884,94 €, odnosno  89,5% ili 16.117,94  € manje nego u istom razdoblju 2025. godine, a odnose se na  rashode za ostale nespomenute građevinske objekte.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Od 1. siječnja do 31. ožujka 2026. godine ostvareni su rashodi u iznosu od 155,85 € te nisu evidentirani u istom razdoblju prethodne 2025. godine, a odnose se na rashode za uređaje.</w:t>
      </w:r>
    </w:p>
    <w:p w:rsidR="00FA5E85" w:rsidRDefault="00B22DB9">
      <w:r>
        <w:t> 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Od 1. siječnja do 31. ožujka 2026. godine ostvareni su rashodi u iznosu od 3.200,00 € te nisu evidentirani u istom razdoblju prethodne 2025. godine, a odnose se na rashode za dokumente prostornog uređenja.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za ostalu nefinancijsku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Od 1. siječnja do 31. ožujka 2026. godine ostvareni su rashodi u iznosu od 4.412,50 €, odnosno za 63,6% ili 1.716,01 € više u odnosu na prethodnu 2025. godinu.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13.542,91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13.161,95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97,2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>Od 1. siječnja do 31. ožujka 2026. godine ostvareni su izdaci u iznosu od 13.161,95 €, odnosno za 2,8% ili  380,96 € manje u odnosu na prethodnu 2025. godinu, a odnose se na izdatke za otplatu glavnice primljenih kredita i zajmova.</w:t>
      </w:r>
    </w:p>
    <w:p w:rsidR="00FA5E85" w:rsidRDefault="00B22DB9">
      <w:r>
        <w:t> 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Otplata glavnice primljenih kredita i zajmova od kreditnih i ostalih financijskih institucija izvan javnog </w:t>
            </w:r>
            <w:r>
              <w:rPr>
                <w:sz w:val="18"/>
              </w:rPr>
              <w:t>sektora (šifre 5443 do 5448)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13.542,91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13.161,95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97,2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 xml:space="preserve">Od 1. siječnja do 31. ožujka 2026. godine ostvareni su izdaci u iznosu od 13.161,95 €, odnosno za 2,8% ili  380,96 € manje u odnosu na prethodnu 2025. godinu, a odnose se na </w:t>
      </w:r>
      <w:r>
        <w:lastRenderedPageBreak/>
        <w:t>izdatke za otplatu glavnice primljenih kredita od tuzemnih kreditnih institucija i</w:t>
      </w:r>
      <w:r>
        <w:t>zvan javnog sektora.</w:t>
      </w:r>
    </w:p>
    <w:p w:rsidR="00FA5E85" w:rsidRDefault="00FA5E85"/>
    <w:p w:rsidR="00FA5E85" w:rsidRDefault="00B22DB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FA5E85" w:rsidRDefault="00B22DB9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A5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5E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FA5E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94.399,89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5E85" w:rsidRDefault="00B22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A5E85" w:rsidRDefault="00FA5E85">
      <w:pPr>
        <w:spacing w:after="0"/>
      </w:pPr>
    </w:p>
    <w:p w:rsidR="00FA5E85" w:rsidRDefault="00B22DB9">
      <w:r>
        <w:t xml:space="preserve">Povećanje obveza u izvještajnom razdoblju iznosi 272.166,10 €, a isto se sastoji od obveza za rashode poslovanja u iznosu od 262.512,81 € te obveza za nabavu nefinancijske imovine u iznosu od 9.653,29 €, dok je početno stanje 01.01.2026. godine 765.087,56 </w:t>
      </w:r>
      <w:r>
        <w:t>€ što čini ukupno 1.037.253,66 € obveza. U izvještajnom razdoblju podmirene su obveze u ukupnom iznosu od  296.900,09 € te na kraju izvještajnog razdoblja tj. sa 31.03.2026. godine stanje obveza iznosi  740.353,57 €. Dospjele obveze na kraju izvještajnog r</w:t>
      </w:r>
      <w:r>
        <w:t>azdoblja su evidentirane u iznosu od 94.399,89 i to za obveze za rashode poslovanja (obveze za materijalne rashode, obveze za financijske rashode, obveze za naknade građanima i kućanstvima, obveze za donacije, kazne, naknade šteta i kapitalne pomoći, ostal</w:t>
      </w:r>
      <w:r>
        <w:t xml:space="preserve">e tekuće obveze) te obveze za nabavu nefinancijske imovine dok iznos nedospjelih obveza iznosi 645.953,68 € i to za obveze za rashode poslovanja, nabavu nefinancijske imovine, obveze za financijsku imovinu i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</w:t>
      </w:r>
      <w:r>
        <w:t>i tuđe prihode.</w:t>
      </w:r>
    </w:p>
    <w:p w:rsidR="00FA5E85" w:rsidRDefault="00FA5E85"/>
    <w:sectPr w:rsidR="00FA5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E85"/>
    <w:rsid w:val="00B22DB9"/>
    <w:rsid w:val="00FA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65D06-06EB-4DF9-B4FC-470BFD3B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4129</Words>
  <Characters>23539</Characters>
  <Application>Microsoft Office Word</Application>
  <DocSecurity>0</DocSecurity>
  <Lines>196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Proračun Gračišće</cp:lastModifiedBy>
  <cp:revision>2</cp:revision>
  <dcterms:created xsi:type="dcterms:W3CDTF">2026-04-09T08:57:00Z</dcterms:created>
  <dcterms:modified xsi:type="dcterms:W3CDTF">2026-04-09T08:57:00Z</dcterms:modified>
</cp:coreProperties>
</file>