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8F1838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8F1838" w:rsidRDefault="00533576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8F1838" w:rsidRDefault="00533576">
            <w:pPr>
              <w:spacing w:after="0" w:line="240" w:lineRule="auto"/>
            </w:pPr>
            <w:r>
              <w:t>36127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8F1838" w:rsidRDefault="00533576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8F1838" w:rsidRDefault="00533576">
            <w:pPr>
              <w:spacing w:after="0" w:line="240" w:lineRule="auto"/>
            </w:pPr>
            <w:r>
              <w:t>OPĆINA GRAČIŠĆE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8F1838" w:rsidRDefault="00533576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8F1838" w:rsidRDefault="00533576">
            <w:pPr>
              <w:spacing w:after="0" w:line="240" w:lineRule="auto"/>
            </w:pPr>
            <w:r>
              <w:t>22</w:t>
            </w:r>
          </w:p>
        </w:tc>
      </w:tr>
    </w:tbl>
    <w:p w:rsidR="008F1838" w:rsidRDefault="00533576">
      <w:r>
        <w:br/>
      </w:r>
    </w:p>
    <w:p w:rsidR="008F1838" w:rsidRDefault="00533576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8F1838" w:rsidRDefault="00533576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8F1838" w:rsidRDefault="00533576">
      <w:pPr>
        <w:spacing w:line="240" w:lineRule="auto"/>
        <w:jc w:val="center"/>
      </w:pPr>
      <w:r>
        <w:rPr>
          <w:b/>
          <w:sz w:val="28"/>
        </w:rPr>
        <w:t>I - IX 2026.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900.950,41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1.075.458,12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119,4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781.153,32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904.481,29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115,8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8F183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119.797,09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170.976,83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142,7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75.752,00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89.653,79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161.453,68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180,1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8F183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89.653,79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85.701,68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95,6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39.488,81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43.262,92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109,6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8F183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PRIMITAKA OD FINANCIJSKE IMOVINE I ZADUŽIVANJA (šifre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39.488,81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43.262,92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109,6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8F183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I PRIMITAKA (šifre X678-Y345)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42.012,23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Ukupni prihodi Općine Gračišće ostvareni u razdoblju od 1. siječnja od 30. rujna 2026. godine iznosili su 1.151.210,12 €, odnosno 27,8% ili 250.259,71 € više nego prethodne 2025. godine. Na rast prihoda poslovanja u promatranom razdoblju najvećim je dijelo</w:t>
      </w:r>
      <w:r>
        <w:t>m utjecalo povećanje prihoda od poreza, prihoda od imovine, prihoda od prodaje proizvoda i robe te pruženih usluga, prihoda od donacija te povrata po protestiranim jamstvima u odnosu na prethodnu 2025. godinu  te ostvarenje prihoda od kazni, upravnih mjera</w:t>
      </w:r>
      <w:r>
        <w:t xml:space="preserve"> i ostalih prihoda koji nisu bili ostvareni u istom razdoblju prethodne 2025. godine. Prihodi od prodaje nefinancijske imovine </w:t>
      </w:r>
      <w:r>
        <w:lastRenderedPageBreak/>
        <w:t> ostvareni su u iznosu od 75.752,00 €  te nisu bili evidentirani u istom razdoblju prethodne 2025. godine,  dok primici od financ</w:t>
      </w:r>
      <w:r>
        <w:t>ijske imovine i zaduživanja nisu zabilježeni. Ukupni rashodi i izdaci iznose 1.109.197,89 € što je za 21,9% ili 198.901,97  € više rashoda nego prošle godine. Rashodi poslovanja su se povećali, a na to su utjecali povećanje ostalih rashoda za zaposlene, po</w:t>
      </w:r>
      <w:r>
        <w:t>većanje naknada troškova zaposlenima, povećanje rashoda za materijal i energiju, povećanje rashoda za usluge, povećanje ostalih financijskih rashoda, povećanje rashoda za pomoći drugom proračunu i izvanproračunskim korisnicima, povećanje ostalih naknada gr</w:t>
      </w:r>
      <w:r>
        <w:t>ađanima i kućanstvima iz proračuna, povećanje tekućih donacija te povećanje kapitalnih pomoći dok rashodi za plaće, rashodi za doprinose na plaće, ostali nespomenuti rashodi poslovanja te rashodi za kamate za primljene kredite i zajmove bilježe smanjenje u</w:t>
      </w:r>
      <w:r>
        <w:t xml:space="preserve"> odnosu na prethodnu 2025. godinu. Rashodi za nabavu nefinancijske imovine iznose 161.453,68 €, odnosno za 80,1 % ili 71.799,89  € su veći  u odnosu na prethodnu godinu. Izdaci za financijsku imovinu i otplate zajmova u promatranom razdoblju iznose 43.262,</w:t>
      </w:r>
      <w:r>
        <w:t>92 € te su za 9,6 % ili 3.774,11 € veći nego prethodne 2025. godine. Ostvaren je višak prihoda  u iznosu od 42.012,23 €. Manjak prihoda i primitaka iz prethodnog razdoblja iznosi 23.224,79 €, tako da se u sljedeće razdoblje prenosi višak u iznosu od 18.787</w:t>
      </w:r>
      <w:r>
        <w:t>,44 €.</w:t>
      </w:r>
    </w:p>
    <w:p w:rsidR="008F1838" w:rsidRDefault="00533576">
      <w:r>
        <w:t> </w:t>
      </w:r>
    </w:p>
    <w:p w:rsidR="008F1838" w:rsidRDefault="00533576">
      <w:r>
        <w:br/>
      </w:r>
    </w:p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900.950,41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1.075.458,12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119,4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poslovanja Općine Gračišće ostvareni u razdoblju od 1. siječnja od 30. rujna 2026. godine iznosili su 1.075.458,12 €, odnosno 19,4 % ili 174.507,71 € više nego prethodne 2025. godine. Na rast prihoda poslovanja u promatranom razdoblju najvećim je d</w:t>
      </w:r>
      <w:r>
        <w:t xml:space="preserve">ijelom utjecalo povećanje prihoda od poreza, prihoda od imovine, prihoda od prodaje proizvoda i robe te pruženih usluga, prihoda od donacija te povrata po protestiranim jamstvima u odnosu na prethodnu 2025. godinu  te ostvarenje prihoda od kazni, upravnih </w:t>
      </w:r>
      <w:r>
        <w:t>mjera i ostalih prihoda koji nisu bili ostvareni u istom razdoblju prethodne 2025.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 na dohodak (šifre 6111 do 6116 - 6117 - 6119)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586.364,98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705.805,34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120,4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poreza na dohodak u razdoblju od 1. siječnja do 30. rujna 2026. godine ostvareni su u iznosu od 705.805,34 €, odnosno 20,4 % ili 119.440,36 € više u odnosu na iste prihode ostvarene u promatranom razdoblju 2025. godine. Na rast prihoda od poreza</w:t>
      </w:r>
      <w:r>
        <w:t xml:space="preserve"> na dohodak </w:t>
      </w:r>
      <w:r>
        <w:lastRenderedPageBreak/>
        <w:t>utjecalo je povećanje prihoda od poreza na dohodak od nesamostalnog rada ostvarenih za 1,7% ili 10.243,01 € više nego u istom razdoblju 2025. godine te ostvarenje prihoda od poreza na dohodak od samostalnih djelatnosti koji su ostvareni u iznos</w:t>
      </w:r>
      <w:r>
        <w:t>u od 41.070,06 € te nisu bili evidentirani u istom razdoblju prethodne godine, kao i ostvarenje prihoda od poreza na dohodak od imovine i imovinskih prava koji su ostvareni u iznosu od 17.853,31 € te ostvarenje  prihoda od poreza na dohodak od kapitala koj</w:t>
      </w:r>
      <w:r>
        <w:t>i su  ostvareni u iznosu od 50.273,98 €. 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imovinu (šifre 6131 do 6135)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26.008,53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41.007,31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157,7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poreza na imovinu u razdoblju od 1. siječnja do 30. rujna 2026. godine ostvareni su u iznosu od 41.007,31 €, odnosno 57,7% ili 14.998,78  € više u odnosu na iste prihode ostvarene u promatranom razdoblju 2025. godine, a odnose se na porez na kuć</w:t>
      </w:r>
      <w:r>
        <w:t>e za odmor u iznosu od 163,59 €, novi porez na nekretnine u iznosu od 7.258,51 € te na porez na promet nekretnina u iznosu od 33.585,21 €.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</w:t>
            </w:r>
            <w:r>
              <w:rPr>
                <w:b/>
                <w:sz w:val="18"/>
              </w:rPr>
              <w:t>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Porezi na robu i usluge (šifre 6141 do 61476148)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675,03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859,49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127,3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poreza na robu i usluge u razdoblju od 1. siječnja do 30. rujna 2026. godine ostvareni su u iznosu od 859,49 €, odnosno 27,3 % ili 184,46 € više u odnosu na iste prihode ostvarene u promatranom razdoblju 2025. godine, a odnose se na porez na pot</w:t>
      </w:r>
      <w:r>
        <w:t>rošnju alkoholnih i bezalkoholni pića.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proračunu i izvanproračunskim korisnicima </w:t>
            </w:r>
            <w:r>
              <w:rPr>
                <w:sz w:val="18"/>
              </w:rPr>
              <w:t>iz drugih proračuna (šifre 6331+6332)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20.576,00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2.100,00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10,2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pomoći proračunu i izvanproračunskim korisnicima iz drugih proračuna u razdoblju od 1. siječnja do 30. rujna 2026. godine ostvareni su u iznosu od 2.100,00 €, odnosno 89,8% ili 18.476,00 € manje nego u istom razdoblju prethodne 2025. godine, a o</w:t>
      </w:r>
      <w:r>
        <w:t>dnose se na tekuće pomoći iz županijskog proračuna.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izravnanja za </w:t>
            </w:r>
            <w:r>
              <w:rPr>
                <w:sz w:val="18"/>
              </w:rPr>
              <w:t>decentralizirane funkcije i fiskalnog izravnanja (šifre 6351 do 6353)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45.532,17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62.183,20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136,6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pomoći izravnanja za decentralizirane funkcije i fiskalnog izravnanja u razdoblju od 1. siječnja do 30. rujna 2026. godine ostvareni su u iznosu od 62.183,20 €, odnosno 36,6% ili 16.651,03 € više nego prethodne 2025. godine. Odnose se na prihode</w:t>
      </w:r>
      <w:r>
        <w:t xml:space="preserve"> od tekućih pomoći  izravnanja za decentralizirane funkcije u iznosu od 8.964,85 € koji nisu zabilježeni u istom razdoblju prethodne godine te od prihoda od pomoći fiskalnog izravnanja koji su ostvareni u iznosu od 53.218,35 €, odnosno za  16,9% ili 7.686,</w:t>
      </w:r>
      <w:r>
        <w:t>18 € više nego u istom razdoblju prethodne 2025.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financijske imovine </w:t>
            </w:r>
            <w:r>
              <w:rPr>
                <w:sz w:val="18"/>
              </w:rPr>
              <w:t>(šifre 6412 do 6419)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24,94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33,25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133,3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financijske imovine u razdoblju od 1. siječnja do 30. rujna 2026. godine ostvareni su u iznosu od 33,25 €, odnosno za 33,3% ili 8,31 € više u odnosu na promatrano razdoblje prethodne 2025. godine, a odnose se na prihode od dividendi na dionice u</w:t>
      </w:r>
      <w:r>
        <w:t xml:space="preserve"> trgovačkim društvima izvan javnog sektora.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nefinancijske imovine (šifre 6421</w:t>
            </w:r>
            <w:r>
              <w:rPr>
                <w:sz w:val="18"/>
              </w:rPr>
              <w:t xml:space="preserve"> do 6429)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40.386,08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52.708,57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130,5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nefinancijske imovine u razdoblju od 1. siječnja do 30. rujna 2026. godine ostvareni su u iznosu od 52.708,57 €, odnosno za 30,5% ili 12.322,49 € više u odnosu na promatrano razdoblje prethodne 2025. godine. Na povećanje prihoda od nefinancijske</w:t>
      </w:r>
      <w:r>
        <w:t xml:space="preserve"> imovine utjecalo je povećanje prihoda od naknada za korištenje nefinancijske imovine za 90,3% ili 23.660,87 €, a odnose se na naknade za korištenje naftne luke, naftovoda i eksploataciju mineralnih sirovina u iznosu od 23.643,02 € te na ostale prihode od </w:t>
      </w:r>
      <w:r>
        <w:t xml:space="preserve">nefinancijske imovine u iznosu od 26.215,54 €. Prihodi od zakupa i iznajmljivanja imovine ostvareni su u iznosu od 2.859,01 €, odnosno 45% ili 2.340,83 € manje u odnosu na </w:t>
      </w:r>
      <w:r>
        <w:lastRenderedPageBreak/>
        <w:t>prethodnu godinu, a odnose se na prihode od zakupa poljoprivrednog zemljišta u iznos</w:t>
      </w:r>
      <w:r>
        <w:t>u od 870,76 € te na prihode od zakupa poslovnih objekata u iznosu od 1.988,25 €.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Upravne i administrativne pristojbe (šifre 6511 do 6514)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2.667,76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2.287,99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85,8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upravnih i administrativnih pristojbi u razdoblju od 1. siječnja do 30. rujna 2026. godine ostvareni su u iznosu od 2.287,99 €, odnosno 14,2 % ili 379,77 € manje u odnosu na iste prihode ostvarene u promatranom razdoblju 2025. godine, a odnose s</w:t>
      </w:r>
      <w:r>
        <w:t>e na ostale naknade utvrđenje općinskom odlukom u iznosu od 68,36 € te na boravišne pristojbe u iznosu od 2.219,63 €.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</w:t>
            </w:r>
            <w:r>
              <w:rPr>
                <w:b/>
                <w:sz w:val="18"/>
              </w:rPr>
              <w:t xml:space="preserve">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119.496,91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93.193,76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78,0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po posebnim propisima u razdoblju od 1. siječnja do 30. rujna 2026. godine ostvareni su u iznosu od 93.193,76 €, odnosno 22% ili 26.303,15 € manje u odnosu na iste prihode ostvarene u promatranom razdoblju 2025. godine, a odnose se na prihode od rj</w:t>
      </w:r>
      <w:r>
        <w:t>ešenja za groblje u iznosu od 2.105,71 €, na ostale nespomenute prihode u iznosu od 91.060,05 € te na prihode od naknada za podizanje spomenika u iznosu od 28,00 €.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</w:t>
            </w:r>
            <w:r>
              <w:rPr>
                <w:b/>
                <w:sz w:val="18"/>
              </w:rPr>
              <w:t>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Komunalni doprinosi i naknade (šifre 6531 do 6533)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58.605,29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84.787,98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144,7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komunalnih doprinosa i naknada u razdoblju od 1. siječnja do 30. rujna 2026. godine ostvareni su u iznosu  od 84.787,98 €, odnosno 44,7 % ili  26.182,69 € više u odnosu na iste prihode ostvarene u promatranom razdoblju 2025. godine. Na povećanje</w:t>
      </w:r>
      <w:r>
        <w:t xml:space="preserve"> prihoda od komunalnih doprinosa i naknada je utjecalo povećanje prihoda od komunalne naknade koji su ostvareni u iznosu od 61.533,71 €, odnosno 56,7 % ili 22.255,97 € više u odnosu na prethodnu godinu te povećanje prihoda od komunalnog doprinosa koji su o</w:t>
      </w:r>
      <w:r>
        <w:t>stvareni u iznosu od 23.254,27 € te bilježe povećanje za 20,3 % ili 3.926,72 €  u odnosu na isto razdoblje prošle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</w:t>
            </w:r>
            <w:r>
              <w:rPr>
                <w:b/>
                <w:sz w:val="18"/>
              </w:rPr>
              <w:t>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Donacije od pravnih i fizičkih osoba izvan općeg proračuna te povrat donacija i kapitalnih pomoći po protestiranim jamstvima (šifre 6631 do 6634)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612,72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767,1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 xml:space="preserve">Prihodi od donacija u razdoblju od 1. siječnja do 30. rujna 2026. godine ostvareni su u iznosu  od 4.700,00 €, odnosno 667,1 % ili 4.087,28  € više u odnosu na iste prihode ostvarene u promatranom razdoblju 2025. godine, a odnose se na  tekuće donacije od </w:t>
      </w:r>
      <w:r>
        <w:t>trgovačkih društava.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25.791,23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Ostali prihodi u razdoblju od 1. siječnja do 30. rujna 2026. godine ostvareni su u iznosu  od 25.791,23 € te nisu evidentirani u istom razdoblju prethodne 2025.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</w:t>
            </w:r>
            <w:r>
              <w:rPr>
                <w:b/>
                <w:sz w:val="18"/>
              </w:rPr>
              <w:t>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781.153,32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904.481,29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115,8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poslovanja Općine Gračišće ostvareni u razdoblju od 1. siječnja od 30. rujna 2026. godine ostvareni su u iznosu od  904.481,29 €, odnosno 15,8% ili  123.327,97 € više nego prethodne 2025. godine. Na povećanje rashoda poslovanja utjecali su povećanj</w:t>
      </w:r>
      <w:r>
        <w:t>e ostalih rashoda za zaposlene, povećanje naknada troškova zaposlenima, povećanje rashoda za materijal i energiju, povećanje rashoda za usluge, povećanje ostalih financijskih rashoda, povećanje rashoda za pomoći drugom proračunu i izvanproračunskim korisni</w:t>
      </w:r>
      <w:r>
        <w:t>cima, povećanje ostalih naknada građanima i kućanstvima iz proračuna, povećanje tekućih donacija te povećanje kapitalnih pomoći dok rashodi za plaće, rashodi za doprinose na plaće, ostali nespomenuti rashodi poslovanja te rashodi za kamate za primljene kre</w:t>
      </w:r>
      <w:r>
        <w:t>dite i zajmove bilježe smanjenje u odnosu na prethodnu 2025. godinu.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lastRenderedPageBreak/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Plaće (bruto) </w:t>
            </w:r>
            <w:r>
              <w:rPr>
                <w:sz w:val="18"/>
              </w:rPr>
              <w:t>(šifre 3111 do 3114)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121.244,67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120.373,33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99,3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plaće zaposlenika u razdoblju od 1. siječnja do 30. rujna 2026. godine ostvareni su u iznosu od  120.373,33 €, odnosno 0,7% ili 871,34 € manje u odnosu na rashode za plaće ostvarene u istom razdoblju 2025. godine. Na smanjenje u promatranom razd</w:t>
      </w:r>
      <w:r>
        <w:t>oblju najvećim je dijelom utjecalo smanjenje rashoda za plaće za redovan rad.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Ostali </w:t>
            </w:r>
            <w:r>
              <w:rPr>
                <w:sz w:val="18"/>
              </w:rPr>
              <w:t>rashodi za zaposlene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5.950,00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6.250,00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105,0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Ostali rashodi za zaposlene u razdoblju od 1. siječnja do 30. rujna 2026. godine ostvareni su u iznosu od 6.250,00 €, odnosno 5% ili 300,00 € više u odnosu na ostale rashode za zaposlene ostvarene u istom razdoblju 2025.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</w:t>
            </w:r>
            <w:r>
              <w:rPr>
                <w:b/>
                <w:sz w:val="18"/>
              </w:rPr>
              <w:t xml:space="preserve">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Doprinosi na plaće (šifre 3131 do 3133)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20.005,37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19.861,65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99,3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doprinose na plaće zaposlenika u razdoblju od 1. siječnja do 30. rujna 2026. godine ostvareni su u iznosu od 19.861,65 €, odnosno 0,7% ili 143,72 € manje u odnosu na rashode za doprinose  na plaće ostvarene u istom razdoblju 2025. godine. Na sma</w:t>
      </w:r>
      <w:r>
        <w:t>njenje u promatranom razdoblju utjecalo je smanjenje rashoda za doprinose za obvezno zdravstveno osiguranje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razdoblju tekuće </w:t>
            </w:r>
            <w:r>
              <w:rPr>
                <w:b/>
                <w:sz w:val="18"/>
              </w:rPr>
              <w:t>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4.929,20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9.487,67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192,5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lastRenderedPageBreak/>
        <w:t>Rashodi za naknade troškova zaposlenima u razdoblju od 1. siječnja do 30. rujna 2026. godine ostvareni su u iznosu od 9.487,67 €, odnosno 92,5% ili 4.558,47 € više u odnosu na iste rashode ostvarene u promatranom razdoblju 2025. godine. Na rast ovih rashod</w:t>
      </w:r>
      <w:r>
        <w:t xml:space="preserve">a  utjecalo je povećanje rashoda za službena putovanja za 185,1% ili 924,88 €, povećanje rashoda za naknade za prijevoz, za rad na terenu i odvojeni život koji su se povećali za 76,6% ili 2.396,39 € te povećanje rashoda za stručno usavršavanje zaposlenika </w:t>
      </w:r>
      <w:r>
        <w:t>koji su se povećali za  126,4 % ili 1.418,00 € u odnosu na prethodnu 2025. godinu.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16.328,69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27.221,39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166,7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materijal i energiju u razdoblju od 1. siječnja do 30. rujna 2026. godine ostvareni su u iznosu od 27.221,39 €, odnosno 66,7% ili 10.892,70 € više u odnosu na iste rashode ostvarene u promatranom razdoblju 2025. godine. Na povećanje rashoda za m</w:t>
      </w:r>
      <w:r>
        <w:t>aterijal i energiju najviše je utjecalo povećanje rashoda za energiju koji su se povećali za 60,8% ili 8.147,36 €, zatim povećanje rashoda za sitni inventar koji su se povećali za 199,9% ili  3.177,51 € dok su se rashodi za uredski materijal i ostali mater</w:t>
      </w:r>
      <w:r>
        <w:t>ijalni rashodi smanjili  za 32,2% ili 432,17 €.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127.836,01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204.294,21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159,8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usluge u razdoblju od 1. siječnja do 30. rujna 2026. godine ostvareni su u iznosu od 204.294,21 €, odnosno 59,8 % ili  76.458,2 € više u odnosu na iste rashode ostvarene u promatranom razdoblju 2025. godine. Na povećanje rashoda za usluge utjeca</w:t>
      </w:r>
      <w:r>
        <w:t>lo je povećanje rashoda za usluge telefona, interneta, pošte i prijevoza za 16,7 % ili 785,16 €, povećanje rashoda za usluge tekućeg i investicijskog održavanja za 17,8% ili 3.739,72 €, povećanje rashoda za usluge promidžbe i informiranja za 39,4 % ili 4.4</w:t>
      </w:r>
      <w:r>
        <w:t>89,14 €, povećanje rashoda za  komunalne usluge za 38,5 % ili 12.515,23 €, povećanje rashoda za zakupnine i najamnine za 48,7% ili 1.252,00 €, povećanje rashoda za intelektualne i osobne usluge za 473,7% ili 39.626,51 €, povećanje rashoda za računalne uslu</w:t>
      </w:r>
      <w:r>
        <w:t>ge za 96% ili 12.489,81 € kao i povećanje rashoda za ostale usluge za 6,4 % ili 2.029,38 € u odnosu na prethodnu 2025. godinu. Rashodi za zdravstvene i veterinarske usluge su se smanjili u odnosu na isto razdoblje prethodne godine za 20% ili 468,75 €.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lastRenderedPageBreak/>
        <w:t>Bil</w:t>
      </w:r>
      <w:r>
        <w:rPr>
          <w:sz w:val="28"/>
        </w:rPr>
        <w:t>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142.343,47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113.974,09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80,1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Ostali nespomenuti rashodi poslovanja u razdoblju od 1. siječnja do 30. rujna 2026. godine ostvareni su u iznosu od 113.974,09 €, odnosno 19,9% ili 28.369,38 € manje u odnosu na iste rashode ostvarene u promatranom razdoblju 2025. godine. Na pad tih rasho</w:t>
      </w:r>
      <w:r>
        <w:t>da utjecalo je smanjenje rashoda za naknade za rad predstavničkih i izvršnih tijela, povjerenstva i slično za  51% ili  12.354 € te smanjenje ostalih nespomenutih rashoda poslovanja za 17,2 % ili 19.382,02 € u odnosu na prethodnu godinu. Rashodi za premije</w:t>
      </w:r>
      <w:r>
        <w:t xml:space="preserve"> osiguranja povećali su se  za  175,2% ili  755,25 € te rashodi za reprezentaciju za 49,5% ili 2.611,39 € u odnosu na prethodnu godinu u istom razdoblju.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</w:t>
            </w:r>
            <w:r>
              <w:rPr>
                <w:b/>
                <w:sz w:val="18"/>
              </w:rPr>
              <w:t>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Kamate za primljene kredite i zajmove (šifre 3421 do 3428)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6.660,19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6.081,26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91,3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kamate za primljene kredite i zajmove u razdoblju od 1. siječnja do 30. rujna 2026. godine ostvareni su u iznosu od 6.081,26 € odnosno 8,7% ili 578,93 € manje u odnosu na prethodnu godinu, a odnose se na kamate za primljene kredite od tuzemnih k</w:t>
      </w:r>
      <w:r>
        <w:t>reditnih institucija izvan javnog sektora.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Ostali financijski rashodi (šifre 3431 do </w:t>
            </w:r>
            <w:r>
              <w:rPr>
                <w:sz w:val="18"/>
              </w:rPr>
              <w:t>3434)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1.010,41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1.038,08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102,7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Ostali financijski rashodi u razdoblju od 1. siječnja do 30. rujna 2026. godine ostvareni su u iznosu od 1.038,08 €, odnosno  2,7%  ili 27,67 € više u odnosu na iste rashode ostvarene u promatranom razdoblju 2025. godine, a odnose se na rashode za usluge p</w:t>
      </w:r>
      <w:r>
        <w:t>latnog prometa.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lastRenderedPageBreak/>
        <w:t>Bilješka 25.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drugom proračunu i izvanproračunskim korisnicima (šifre 3631 do </w:t>
            </w:r>
            <w:r>
              <w:rPr>
                <w:sz w:val="18"/>
              </w:rPr>
              <w:t>3636)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269.131,51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300.579,97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111,7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navedene pomoći u razdoblju od 1. siječnja do 30. rujna 2026. godine ostvareni su u iznosu od 300.579,97 €, odnosno 11,7%  ili 31.448,46 € više u odnosu na iste rashode ostvarene u promatranom razdoblju 2025. godine. Na rast tih rashoda je utjec</w:t>
      </w:r>
      <w:r>
        <w:t>alo povećanje tekućih pomoći drugom proračunu i izvanproračunskim korisnicima koje su se povećale za 11,8%, a odnose se na tekuće pomoći županijskim proračunima u iznosu od 1.154,00 € te na tekuće pomoći gradskim proračunima u iznosu od 295.730,13 € te pov</w:t>
      </w:r>
      <w:r>
        <w:t>ećanje kapitalnih pomoći županijskim proračunima koje su ostvarene u iznosu od 3.695,84 € te su veće za 1,5% ili 55,62 € u odnosu na isto razdoblje prethodne 2025.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</w:t>
            </w:r>
            <w:r>
              <w:rPr>
                <w:b/>
                <w:sz w:val="18"/>
              </w:rPr>
              <w:t>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Ostale naknade građanima i kućanstvima iz proračuna (šifre 3721 do 3723)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21.232,58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39.962,77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188,2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ostale naknade građanima i kućanstvima od 1. siječnja do 30. rujna 2026. godine ostvareni su u iznosu od 39.962,77 €, odnosno za 88,2 % ili 18.730,19  € više u odnosu na iste rashode ostvarene u promatranom razdoblju 2025. godine. Na rast tih ra</w:t>
      </w:r>
      <w:r>
        <w:t xml:space="preserve">shoda je utjecalo povećanje rashoda za naknade građanima i kućanstvima u novcu za 98,4 % ili 18.480,19 €, a odnose se na pomoć obiteljima i kućanstvima u iznosu od 7.956,01 €,  stipendije i školarine u iznosu od 20.640,00 €, </w:t>
      </w:r>
      <w:proofErr w:type="spellStart"/>
      <w:r>
        <w:t>porodiljne</w:t>
      </w:r>
      <w:proofErr w:type="spellEnd"/>
      <w:r>
        <w:t xml:space="preserve"> naknade i opremu za </w:t>
      </w:r>
      <w:r>
        <w:t>novorođenčad u iznosu od 4.630,00 € te na ostale naknade iz proračuna u novcu u iznosu od 4.036,76 €. Na povećanje navedenih rashoda također je utjecalo i povećanje rashoda za naknade građanima i kućanstvima u naravi koji su se povećali za 10,2% ili  250,0</w:t>
      </w:r>
      <w:r>
        <w:t>0 €, a odnose se na ostale naknade iz proračuna u naravi.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Tekuće donacije (šifre 3811 </w:t>
            </w:r>
            <w:r>
              <w:rPr>
                <w:sz w:val="18"/>
              </w:rPr>
              <w:t>do 3813)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34.044,22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42.595,47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125,1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tekuće donacije od 1. siječnja do 30. rujna 2026. godine ostvareni su u iznosu od 42.595,47 €, odnosno za 25,1 % ili  8.551,25 € više u odnosu na iste rashode ostvarene u promatranom razdoblju 2025. godine, a odnose se na rashode za tekuće donac</w:t>
      </w:r>
      <w:r>
        <w:t xml:space="preserve">ije u novcu, </w:t>
      </w:r>
      <w:r>
        <w:lastRenderedPageBreak/>
        <w:t>odnosno na tekuće donacije udrugama i političkim strankama u iznosu od 675,03 € te na ostale tekuće donacije u iznosu od 41.920,44 €.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</w:t>
            </w:r>
            <w:r>
              <w:rPr>
                <w:b/>
                <w:sz w:val="18"/>
              </w:rPr>
              <w:t>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(šifre 3861 do 3865)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386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10.437,00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12.761,40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122,3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kapitalne pomoći u razdoblju  od 1. siječnja do 30. rujna 2026. godine ostvareni su u iznosu od 12.761,40 €, odnosno za 22,3 % ili 2.324,40  € više u odnosu na iste rashode ostvarene u promatranom razdoblju 2025. godine, a odnose se na rashode z</w:t>
      </w:r>
      <w:r>
        <w:t>a kapitalne pomoći trgovačkim društvima u javnom sektoru.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29.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od prodaje </w:t>
            </w:r>
            <w:r>
              <w:rPr>
                <w:sz w:val="18"/>
              </w:rPr>
              <w:t>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75.752,00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Prihodi od prodaje nefinancijske imovine u razdoblju od 1. siječnja do 30. rujna 2026. godine ostvareni su u iznosu od 75.752,00 € te nisu evidentirani prethodne 2025. godine, a odnose se na prihode od prodaje zemljišta.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</w:t>
            </w:r>
            <w:r>
              <w:rPr>
                <w:b/>
                <w:sz w:val="18"/>
              </w:rPr>
              <w:t>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materijalne imovine - prirodnih bogatstava (šifre 7111 do 7113)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75.752,00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 prihodi u iznosu od 75.752,00 € te nisu evidentirani u prethodnoj 2025. godini, a odnose se na prihode od prodaje građevinskog zemljišta.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lastRenderedPageBreak/>
        <w:t>Bilješka 31.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</w:t>
            </w:r>
            <w:r>
              <w:rPr>
                <w:b/>
                <w:sz w:val="18"/>
              </w:rPr>
              <w:t xml:space="preserve">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89.653,79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161.453,68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180,1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Rashodi za nabavu nefinancijske imovine u razdoblju od 1. siječnja do 30. rujna 2026. godine ostvareni su u iznosu od 161.453,68 €, odnosno 80,1 % ili 71.799,89 € više u odnosu na iste rashode ostvarene u promatranom razdoblju 2025. godine. Na povećanje ov</w:t>
      </w:r>
      <w:r>
        <w:t>ih rashoda utjecalo je ostvarenje rashoda za materijalnu imovinu – prirodna bogatstva u iznosu od 60.000 € i ostvarenje rashoda za prijevozna sredstva u iznosu od 18.400,00 €, zatim povećanje rashoda za građevinske objekte za 7% te povećanje rashoda za pos</w:t>
      </w:r>
      <w:r>
        <w:t>trojenja i opremu za 459,8%, dok rashodi za nematerijalnu proizvedenu imovinu te rashodi za dodatna ulaganja u ostalu nefinancijsku imovinu bilježe smanjenje u odnosu na prethodnu godinu.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Materijalna imovina - prirodna bogatstva (šifre 4111 do 4113)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rashodi u iznosu od 60.000,00 € te nisu bili evidentirani u istom razdoblju prethodne 2025. godine, a odnose se na rashode za zemljište. 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Građevinski objekti (šifre 4211 do 4214)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52.155,06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55.802,35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107,0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rashodi u iznosu od 55.802,35 €, odnosno za 7% ili 3.647,29 € veći su nego u istom razdoblju prethodne godine. Rashodi za poslovne objekte ostvareni su u iznosu od 2.395,25 € te su manji za 71,6% ili 6.</w:t>
      </w:r>
      <w:r>
        <w:t>041,64 € u odnosu na prethodnu godinu. Rashodi za ostale građevinske objekte ostvareni su u iznosu od 49.057,10 € te su veći za 19,4% ili 7.978,93 € u odnosu na prošlu godinu, kao i rashodi za ceste koji su ostvareni u iznosu od 4.350,00 € te su veći za 64</w:t>
      </w:r>
      <w:r>
        <w:t>,8% ili   1.710,00 € u odnosu na isto razdoblje prethodne godine. 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lastRenderedPageBreak/>
        <w:t>Bilješka 34.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Postrojenja i oprema</w:t>
            </w:r>
            <w:r>
              <w:rPr>
                <w:sz w:val="18"/>
              </w:rPr>
              <w:t xml:space="preserve"> (šifre 4221 do 4228)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854,00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4.780,85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559,8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rashodi u iznosu od 4.780,85 €, odnosno   459,8% ili 3.926,85 € više nego u istom razdoblju 2025. godine, a odnose se na rashode za uređaje u iznosu od 155,85 € te na rashode za opremu u iznosu od 4.625</w:t>
      </w:r>
      <w:r>
        <w:t>,00 €.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Prijevozna sredstva (šifre 4231 do 4234)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18.400,00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rashodi u iznosu od 18.400,00 €, te nisu evidentirani u istom razdoblju prethodne godine, a odnose se na rashode za osobne automobile.   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Nematerijalna proizvedena imovina (šifre 4261 do 4264)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20.138,49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14.932,98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74,2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rashodi u iznosu od 14.932,98 €, odnosno za 25,8 % ili 5.205,51 € manji su nego u promatranom razdoblju prethodne godine. Na smanjenje navedenih rashoda utjecalo je smanjenje rashoda za umjetnička, lite</w:t>
      </w:r>
      <w:r>
        <w:t>rarna i znanstvena djela, odnosno za dokumente prostornog uređenja.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za</w:t>
            </w:r>
            <w:r>
              <w:rPr>
                <w:sz w:val="18"/>
              </w:rPr>
              <w:t xml:space="preserve"> ostalu nefinancijsku imovinu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1.993,75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7.537,50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378,1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rashodi u iznosu od 7.537,50 € odnosno za 278,1% ili 5.543,75  € veći su nego u promatranom razdoblju prethodne 2025. godine.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39.488,81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43.262,92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109,6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Izdaci za financijsku imovinu i otplate zajmova u razdoblju od 1. siječnja do 30. rujna 2026. godine ostvareni su u iznosu od 43.262,92 €, odnosno za 9,6% ili  3.774,11 € veći su nego u promatranom razdoblju prethodne godine, a odnose se na otplatu glavnic</w:t>
      </w:r>
      <w:r>
        <w:t>e primljenih kredita i zajmova od kreditnih i ostalih financijskih institucija izvan javnog sektora.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39.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</w:t>
            </w:r>
            <w:r>
              <w:rPr>
                <w:b/>
                <w:sz w:val="18"/>
              </w:rPr>
              <w:t>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Otplata glavnice primljenih kredita i zajmova od kreditnih i ostalih financijskih institucija izvan javnog sektora (šifre 5443 do 5448)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544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39.488,81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43.262,92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109,6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>Od 1. siječnja do 30. rujna 2026. godine ostvareni su navedeni izdaci u iznosu od 43.262,92 €, odnosno za 9,6% ili 3.774,11 € veći su nego u istom razdoblju prethodne godine, a odnose se na otplatu glavnice dugoročnog primljenog kredita od tuzemnih kreditn</w:t>
      </w:r>
      <w:r>
        <w:t>ih institucija izvan javnog sektora.</w:t>
      </w:r>
    </w:p>
    <w:p w:rsidR="008F1838" w:rsidRDefault="008F1838"/>
    <w:p w:rsidR="008F1838" w:rsidRDefault="00533576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8F1838" w:rsidRDefault="00533576">
      <w:pPr>
        <w:keepNext/>
        <w:spacing w:line="240" w:lineRule="auto"/>
        <w:jc w:val="center"/>
      </w:pPr>
      <w:r>
        <w:rPr>
          <w:sz w:val="28"/>
        </w:rPr>
        <w:t>Bilješka 40.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8F183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F1838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8F1838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91.577,70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F1838" w:rsidRDefault="00533576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8F1838" w:rsidRDefault="008F1838">
      <w:pPr>
        <w:spacing w:after="0"/>
      </w:pPr>
    </w:p>
    <w:p w:rsidR="008F1838" w:rsidRDefault="00533576">
      <w:r>
        <w:t xml:space="preserve">Povećanje obveza u izvještajnom razdoblju iznosi 1.095.634,09 €, a isto se sastoji od obveza za rashode poslovanja u iznosu od 930.515,82 €, obveza za nabavu nefinancijske imovine u iznosu od 164.953,68 € i obveza za predujmove, depozite, </w:t>
      </w:r>
      <w:proofErr w:type="spellStart"/>
      <w:r>
        <w:t>jamčevne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</w:t>
      </w:r>
      <w:r>
        <w:t xml:space="preserve"> tuđe prihode u iznosu od 164,59 €, dok je početno stanje 01.01.2026. godine 765.087,56 € što čini ukupno 1.860.721,65 € obveza. U izvještajnom razdoblju podmirene su obveze u ukupnom iznosu od  1.175.720,71 € te na kraju izvještajnog razdoblja tj. sa 30.0</w:t>
      </w:r>
      <w:r>
        <w:t>9.2026. godine stanje obveza iznosi  685.000,94 €. Dospjele obveze na kraju izvještajnog razdoblja su evidentirane u iznosu od 91.577,70 € i  to za obveze za rashode poslovanja i obveze za rashode za nabavu nefinancijske imovine, dok stanje nedospjelih obv</w:t>
      </w:r>
      <w:r>
        <w:t xml:space="preserve">eza iznosi 593.423,24 € te se odnose na </w:t>
      </w:r>
      <w:r>
        <w:lastRenderedPageBreak/>
        <w:t>obveze za rashode poslovanja, obveze za nabavu nefinancijske imovine i obveze za financijsku imovinu.</w:t>
      </w:r>
    </w:p>
    <w:p w:rsidR="008F1838" w:rsidRDefault="008F1838"/>
    <w:sectPr w:rsidR="008F1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1838"/>
    <w:rsid w:val="00533576"/>
    <w:rsid w:val="008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F8EADE-6DED-4DF8-82B4-C68D991B9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4627</Words>
  <Characters>26377</Characters>
  <Application>Microsoft Office Word</Application>
  <DocSecurity>0</DocSecurity>
  <Lines>219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Proračun Gračišće</cp:lastModifiedBy>
  <cp:revision>2</cp:revision>
  <dcterms:created xsi:type="dcterms:W3CDTF">2026-10-13T06:50:00Z</dcterms:created>
  <dcterms:modified xsi:type="dcterms:W3CDTF">2026-10-13T06:50:00Z</dcterms:modified>
</cp:coreProperties>
</file>